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CE58" w14:textId="1F240C55" w:rsidR="00C545A2" w:rsidRDefault="0048403A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 w:rsidRPr="0048403A">
        <w:rPr>
          <w:rFonts w:asciiTheme="majorHAnsi" w:hAnsiTheme="majorHAnsi" w:cstheme="majorHAnsi"/>
          <w:noProof/>
        </w:rPr>
        <w:drawing>
          <wp:inline distT="0" distB="0" distL="0" distR="0" wp14:anchorId="42EEB979" wp14:editId="5C9588EA">
            <wp:extent cx="1453708" cy="1273629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647" cy="129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</w:t>
      </w:r>
      <w:r w:rsidR="006F7A63" w:rsidRPr="006F7A63">
        <w:rPr>
          <w:rFonts w:asciiTheme="majorHAnsi" w:hAnsiTheme="majorHAnsi" w:cstheme="majorHAnsi"/>
          <w:noProof/>
        </w:rPr>
        <w:drawing>
          <wp:inline distT="0" distB="0" distL="0" distR="0" wp14:anchorId="0F63CB74" wp14:editId="278F7FB5">
            <wp:extent cx="1719943" cy="1256643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8" cy="128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8530" w14:textId="6E1D2AF0" w:rsidR="00DD774F" w:rsidRPr="00DD774F" w:rsidRDefault="00D2022E" w:rsidP="00DD774F">
      <w:pPr>
        <w:jc w:val="center"/>
        <w:rPr>
          <w:rFonts w:asciiTheme="majorHAnsi" w:hAnsiTheme="majorHAnsi" w:cstheme="majorHAnsi"/>
          <w:sz w:val="18"/>
          <w:szCs w:val="18"/>
          <w:lang w:eastAsia="zh-TW"/>
        </w:rPr>
      </w:pPr>
      <w:r w:rsidRPr="00DD774F">
        <w:rPr>
          <w:rFonts w:asciiTheme="majorHAnsi" w:hAnsiTheme="majorHAnsi" w:cstheme="majorHAnsi"/>
          <w:sz w:val="18"/>
          <w:szCs w:val="18"/>
        </w:rPr>
        <w:pict w14:anchorId="4E833B8C">
          <v:rect id="_x0000_i1025" style="width:0;height:1.5pt" o:hralign="right" o:hrstd="t" o:hr="t" fillcolor="#a7a6aa" stroked="f"/>
        </w:pict>
      </w:r>
      <w:r w:rsidR="00DD774F" w:rsidRPr="00DD774F">
        <w:rPr>
          <w:b/>
          <w:color w:val="000000" w:themeColor="text1"/>
          <w:sz w:val="28"/>
          <w:szCs w:val="18"/>
        </w:rPr>
        <w:t>Conforme NF-S-61-937-8</w:t>
      </w:r>
    </w:p>
    <w:p w14:paraId="29380F1F" w14:textId="77777777" w:rsidR="00D2022E" w:rsidRDefault="00D2022E" w:rsidP="00D2022E">
      <w:pPr>
        <w:rPr>
          <w:color w:val="000000" w:themeColor="text1"/>
        </w:rPr>
      </w:pPr>
      <w:r>
        <w:t xml:space="preserve">Fourniture d’ouvrant pour </w:t>
      </w:r>
      <w:proofErr w:type="spellStart"/>
      <w:r>
        <w:t>amenée</w:t>
      </w:r>
      <w:proofErr w:type="spellEnd"/>
      <w:r>
        <w:t xml:space="preserve"> d’air de désenfumage abattant vers l’extérieur de type OXYTONE PANNEAU 2012 de la marque ALDES ou équivalent. Le volet sera équipé d’un c</w:t>
      </w:r>
      <w:r w:rsidRPr="00FF77F7">
        <w:t xml:space="preserve">adre en profilés aluminium afin de s’intégrer parfaitement dans tous les types de menuiserie, </w:t>
      </w:r>
      <w:r>
        <w:t>aussi bien</w:t>
      </w:r>
      <w:r w:rsidRPr="00FF77F7">
        <w:t xml:space="preserve"> en applique</w:t>
      </w:r>
      <w:r>
        <w:t xml:space="preserve"> qu’en tableau</w:t>
      </w:r>
      <w:r w:rsidRPr="00FF77F7">
        <w:rPr>
          <w:color w:val="000000" w:themeColor="text1"/>
        </w:rPr>
        <w:t>.</w:t>
      </w:r>
    </w:p>
    <w:p w14:paraId="66A8DD32" w14:textId="77777777" w:rsidR="00D2022E" w:rsidRDefault="00D2022E" w:rsidP="00D2022E">
      <w:pPr>
        <w:rPr>
          <w:color w:val="000000" w:themeColor="text1"/>
        </w:rPr>
      </w:pPr>
      <w:r>
        <w:rPr>
          <w:color w:val="000000" w:themeColor="text1"/>
        </w:rPr>
        <w:t>La gamme standard s’étend de :</w:t>
      </w:r>
    </w:p>
    <w:p w14:paraId="773AA532" w14:textId="77777777" w:rsidR="00D2022E" w:rsidRDefault="00D2022E" w:rsidP="00D2022E">
      <w:pPr>
        <w:pStyle w:val="Paragraphedeliste"/>
        <w:numPr>
          <w:ilvl w:val="0"/>
          <w:numId w:val="4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Largeur : 420 &lt; L &lt; 1600 mm avec un pas de fabrication de 5 mm</w:t>
      </w:r>
    </w:p>
    <w:p w14:paraId="1FE06DCC" w14:textId="77777777" w:rsidR="00D2022E" w:rsidRDefault="00D2022E" w:rsidP="00D2022E">
      <w:pPr>
        <w:pStyle w:val="Paragraphedeliste"/>
        <w:numPr>
          <w:ilvl w:val="0"/>
          <w:numId w:val="4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Hauteur : 420 &lt; H &lt; 1200 mm avec un pas de fabrication de 5 mm</w:t>
      </w:r>
    </w:p>
    <w:p w14:paraId="7FE0DDAF" w14:textId="77777777" w:rsidR="00D2022E" w:rsidRPr="004717F8" w:rsidRDefault="00D2022E" w:rsidP="00D2022E">
      <w:pPr>
        <w:rPr>
          <w:color w:val="000000" w:themeColor="text1"/>
        </w:rPr>
      </w:pPr>
      <w:r w:rsidRPr="004717F8">
        <w:rPr>
          <w:color w:val="000000" w:themeColor="text1"/>
        </w:rPr>
        <w:t>Si L &gt; 1200 mm</w:t>
      </w:r>
      <w:r>
        <w:rPr>
          <w:color w:val="000000" w:themeColor="text1"/>
        </w:rPr>
        <w:t> : cadre équipé de 2 déclencheurs électromagnétiques pour assurer une bonne fermeture de l’ouvrant.</w:t>
      </w:r>
    </w:p>
    <w:p w14:paraId="70A573B7" w14:textId="77777777" w:rsidR="00D2022E" w:rsidRPr="005C783E" w:rsidRDefault="00D2022E" w:rsidP="00D2022E">
      <w:pPr>
        <w:rPr>
          <w:b/>
          <w:color w:val="000000" w:themeColor="text1"/>
        </w:rPr>
      </w:pPr>
      <w:r w:rsidRPr="005C783E">
        <w:rPr>
          <w:b/>
          <w:color w:val="000000" w:themeColor="text1"/>
        </w:rPr>
        <w:t xml:space="preserve">Le matériel aura les caractéristiques suivantes : </w:t>
      </w:r>
    </w:p>
    <w:p w14:paraId="1655181D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Agréé NF-S-61937-8 ouvrant d’amenée d’air</w:t>
      </w:r>
    </w:p>
    <w:p w14:paraId="598AC1E9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Conforme au marquage CE selon EN 12101-2</w:t>
      </w:r>
    </w:p>
    <w:p w14:paraId="3B3DFC62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 xml:space="preserve">Ouverture : « abattant vers l’extérieur », réalisée par énergie intrinsèque (2 vérins oléopneumatiques) </w:t>
      </w:r>
      <w:proofErr w:type="gramStart"/>
      <w:r>
        <w:t>suite à un</w:t>
      </w:r>
      <w:proofErr w:type="gramEnd"/>
      <w:r>
        <w:t xml:space="preserve"> ordre électrique télécommandé 24 ou 48 VDC</w:t>
      </w:r>
    </w:p>
    <w:p w14:paraId="5408154A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Déclenchement par émission ou rupture de courant 24 ou 48 VDC</w:t>
      </w:r>
    </w:p>
    <w:p w14:paraId="5525A1FB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Réarmement manuel, ouvrant équipé d’une poignée</w:t>
      </w:r>
    </w:p>
    <w:p w14:paraId="1FC3FBD1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Châssis constitué d’un cadre dans lequel deux vérins actionnent le panneau</w:t>
      </w:r>
    </w:p>
    <w:p w14:paraId="3CA04E67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Les contacts de signalisation et le déclencheur électrique sont intégrés dans les profils et donc invisibles lorsque le panneau est fermé</w:t>
      </w:r>
    </w:p>
    <w:p w14:paraId="6CEC9836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Cadre en profilés aluminium</w:t>
      </w:r>
    </w:p>
    <w:p w14:paraId="4B9844CE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Remplissage du panneau standard en double vitrage (possible double vitrage thermique ou panneau plein tôlé isolé)</w:t>
      </w:r>
    </w:p>
    <w:p w14:paraId="2B946FF9" w14:textId="77777777" w:rsidR="00D2022E" w:rsidRPr="005C2DB3" w:rsidRDefault="00D2022E" w:rsidP="00D2022E">
      <w:pPr>
        <w:rPr>
          <w:b/>
        </w:rPr>
      </w:pPr>
      <w:r w:rsidRPr="005C783E">
        <w:rPr>
          <w:b/>
        </w:rPr>
        <w:t>Accessoires/Options :</w:t>
      </w:r>
    </w:p>
    <w:p w14:paraId="789874D3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Grille esthétique intérieure type GFAP 007 de la marque ALDES ou équivalent</w:t>
      </w:r>
    </w:p>
    <w:p w14:paraId="0BC6CCE6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3 kits de fixation pour bois, métal ou béton</w:t>
      </w:r>
    </w:p>
    <w:p w14:paraId="64AF4BF9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Kit d’adaptation pour une mise en œuvre sur un mur rideau</w:t>
      </w:r>
    </w:p>
    <w:p w14:paraId="3402870B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Bavette pour habiller le seuil</w:t>
      </w:r>
    </w:p>
    <w:p w14:paraId="600386F0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Couvre joint, utile si le volet est installé affleurant la façade</w:t>
      </w:r>
    </w:p>
    <w:p w14:paraId="025C8C25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Possibilité abattant vers l’intérieur</w:t>
      </w:r>
    </w:p>
    <w:p w14:paraId="33790A95" w14:textId="77777777" w:rsidR="00D2022E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Adaptation possible pour lier 2 ouvrants ensemble</w:t>
      </w:r>
    </w:p>
    <w:p w14:paraId="4597D73D" w14:textId="77777777" w:rsidR="00D2022E" w:rsidRPr="00FF77F7" w:rsidRDefault="00D2022E" w:rsidP="00D2022E">
      <w:pPr>
        <w:pStyle w:val="Paragraphedeliste"/>
        <w:numPr>
          <w:ilvl w:val="0"/>
          <w:numId w:val="44"/>
        </w:numPr>
        <w:spacing w:after="160" w:line="259" w:lineRule="auto"/>
      </w:pPr>
      <w:r>
        <w:t>Peinture RAL sur le châssis et le panneau plein</w:t>
      </w:r>
    </w:p>
    <w:p w14:paraId="5A21F78D" w14:textId="2EB98A60" w:rsidR="001C582B" w:rsidRPr="00D2022E" w:rsidRDefault="00D2022E" w:rsidP="003C4466">
      <w:pPr>
        <w:rPr>
          <w:b/>
        </w:rPr>
      </w:pPr>
      <w:r w:rsidRPr="00085320">
        <w:rPr>
          <w:b/>
        </w:rPr>
        <w:t xml:space="preserve">L’ouvrant pour </w:t>
      </w:r>
      <w:proofErr w:type="spellStart"/>
      <w:r w:rsidRPr="00085320">
        <w:rPr>
          <w:b/>
        </w:rPr>
        <w:t>amenée</w:t>
      </w:r>
      <w:proofErr w:type="spellEnd"/>
      <w:r w:rsidRPr="00085320">
        <w:rPr>
          <w:b/>
        </w:rPr>
        <w:t xml:space="preserve"> d’ai</w:t>
      </w:r>
      <w:r>
        <w:rPr>
          <w:b/>
        </w:rPr>
        <w:t>r sera de type OXYTONE PANNEAU 2012</w:t>
      </w:r>
      <w:r w:rsidRPr="00085320">
        <w:rPr>
          <w:b/>
        </w:rPr>
        <w:t xml:space="preserve"> de la marque ALDES ou esthétiquement et techniquement équivalents</w:t>
      </w:r>
      <w:r w:rsidR="003C4466">
        <w:rPr>
          <w:rFonts w:ascii="Arial" w:hAnsi="Arial" w:cs="Arial"/>
        </w:rPr>
        <w:t xml:space="preserve">. </w:t>
      </w:r>
    </w:p>
    <w:sectPr w:rsidR="001C582B" w:rsidRPr="00D2022E" w:rsidSect="009B18D1">
      <w:headerReference w:type="default" r:id="rId13"/>
      <w:footerReference w:type="default" r:id="rId14"/>
      <w:pgSz w:w="11906" w:h="16838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510E" w14:textId="77777777" w:rsidR="00AA0D2C" w:rsidRDefault="00AA0D2C" w:rsidP="00667522">
      <w:pPr>
        <w:spacing w:after="0" w:line="240" w:lineRule="auto"/>
      </w:pPr>
      <w:r>
        <w:separator/>
      </w:r>
    </w:p>
  </w:endnote>
  <w:endnote w:type="continuationSeparator" w:id="0">
    <w:p w14:paraId="43144AA2" w14:textId="77777777" w:rsidR="00AA0D2C" w:rsidRDefault="00AA0D2C" w:rsidP="00667522">
      <w:pPr>
        <w:spacing w:after="0" w:line="240" w:lineRule="auto"/>
      </w:pPr>
      <w:r>
        <w:continuationSeparator/>
      </w:r>
    </w:p>
  </w:endnote>
  <w:endnote w:type="continuationNotice" w:id="1">
    <w:p w14:paraId="55DFF2E0" w14:textId="77777777" w:rsidR="00AA0D2C" w:rsidRDefault="00AA0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208F" w14:textId="77777777" w:rsidR="00BC1067" w:rsidRDefault="00BC1067" w:rsidP="00BC1067">
    <w:pPr>
      <w:pStyle w:val="Pieddepage"/>
      <w:jc w:val="right"/>
    </w:pPr>
  </w:p>
  <w:p w14:paraId="671B33E9" w14:textId="497EF1F5" w:rsidR="00180A6A" w:rsidRPr="00BC1067" w:rsidRDefault="00BC1067" w:rsidP="00BC1067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5E6C" w14:textId="77777777" w:rsidR="00AA0D2C" w:rsidRDefault="00AA0D2C" w:rsidP="00667522">
      <w:pPr>
        <w:spacing w:after="0" w:line="240" w:lineRule="auto"/>
      </w:pPr>
      <w:r>
        <w:separator/>
      </w:r>
    </w:p>
  </w:footnote>
  <w:footnote w:type="continuationSeparator" w:id="0">
    <w:p w14:paraId="6E306670" w14:textId="77777777" w:rsidR="00AA0D2C" w:rsidRDefault="00AA0D2C" w:rsidP="00667522">
      <w:pPr>
        <w:spacing w:after="0" w:line="240" w:lineRule="auto"/>
      </w:pPr>
      <w:r>
        <w:continuationSeparator/>
      </w:r>
    </w:p>
  </w:footnote>
  <w:footnote w:type="continuationNotice" w:id="1">
    <w:p w14:paraId="399CFEF9" w14:textId="77777777" w:rsidR="00AA0D2C" w:rsidRDefault="00AA0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33D" w14:textId="008760EB" w:rsidR="00180A6A" w:rsidRPr="00397A43" w:rsidRDefault="00180A6A" w:rsidP="00397A43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D7F724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83452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861DA6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94395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MuHuSngAAAADQEAAA8AAABkcnMvZG93bnJldi54bWxMj8tOwzAQRfdI/IM1SOxa&#10;Jw0ibYhTIQRsWFGQYOnGQxLVj2C7TuDrma7K7ozm6s6ZejsbzRL6MDgrIF9mwNC2Tg22E/D+9rRY&#10;AwtRWiW1syjgBwNsm8uLWlbKTfYV0y52jEpsqKSAPsax4jy0PRoZlm5ES7sv542MNPqOKy8nKjea&#10;r7Lslhs5WLrQyxEfemwPu6MRMG3K+HgIv+n7RXn9ic+FTulDiOur+f4OWMQ5nsNw0id1aMhp745W&#10;BaYFLDZlSVGC/GZNdIrkq7IAticqsgJ4U/P/XzR/AAAA//8DAFBLAQItABQABgAIAAAAIQC2gziS&#10;/gAAAOEBAAATAAAAAAAAAAAAAAAAAAAAAABbQ29udGVudF9UeXBlc10ueG1sUEsBAi0AFAAGAAgA&#10;AAAhADj9If/WAAAAlAEAAAsAAAAAAAAAAAAAAAAALwEAAF9yZWxzLy5yZWxzUEsBAi0AFAAGAAgA&#10;AAAhAMgw+O3BAgAAuQUAAA4AAAAAAAAAAAAAAAAALgIAAGRycy9lMm9Eb2MueG1sUEsBAi0AFAAG&#10;AAgAAAAhAMuHuSngAAAADQEAAA8AAAAAAAAAAAAAAAAAGwUAAGRycy9kb3ducmV2LnhtbFBLBQYA&#10;AAAABAAEAPMAAAAoBgAAAAA=&#10;" fillcolor="#4aafb4" stroked="f" strokeweight="2pt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E1522B">
      <w:rPr>
        <w:b/>
        <w:color w:val="F2F2F2" w:themeColor="background1" w:themeShade="F2"/>
        <w:sz w:val="36"/>
        <w:szCs w:val="36"/>
      </w:rPr>
      <w:t>Ouvrant d’amenée d’air</w:t>
    </w:r>
    <w:r w:rsidR="00397A43">
      <w:rPr>
        <w:b/>
        <w:color w:val="F2F2F2" w:themeColor="background1" w:themeShade="F2"/>
        <w:sz w:val="36"/>
        <w:szCs w:val="36"/>
      </w:rPr>
      <w:br/>
      <w:t xml:space="preserve">              </w:t>
    </w:r>
    <w:r w:rsidR="00DB6FDB">
      <w:rPr>
        <w:b/>
        <w:color w:val="F2F2F2" w:themeColor="background1" w:themeShade="F2"/>
        <w:sz w:val="36"/>
        <w:szCs w:val="36"/>
      </w:rPr>
      <w:t>OXYTONE PANNEAU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405B"/>
    <w:multiLevelType w:val="hybridMultilevel"/>
    <w:tmpl w:val="BEDA6BB2"/>
    <w:lvl w:ilvl="0" w:tplc="2042F6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C62"/>
    <w:multiLevelType w:val="hybridMultilevel"/>
    <w:tmpl w:val="A3709E98"/>
    <w:lvl w:ilvl="0" w:tplc="5BD21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3B23F3"/>
    <w:multiLevelType w:val="hybridMultilevel"/>
    <w:tmpl w:val="56D227D0"/>
    <w:lvl w:ilvl="0" w:tplc="4ECC4C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3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89">
    <w:abstractNumId w:val="15"/>
  </w:num>
  <w:num w:numId="2" w16cid:durableId="997533022">
    <w:abstractNumId w:val="4"/>
  </w:num>
  <w:num w:numId="3" w16cid:durableId="525097710">
    <w:abstractNumId w:val="27"/>
  </w:num>
  <w:num w:numId="4" w16cid:durableId="316501332">
    <w:abstractNumId w:val="24"/>
  </w:num>
  <w:num w:numId="5" w16cid:durableId="1583641822">
    <w:abstractNumId w:val="5"/>
  </w:num>
  <w:num w:numId="6" w16cid:durableId="1485664130">
    <w:abstractNumId w:val="38"/>
  </w:num>
  <w:num w:numId="7" w16cid:durableId="602880001">
    <w:abstractNumId w:val="25"/>
  </w:num>
  <w:num w:numId="8" w16cid:durableId="1241014480">
    <w:abstractNumId w:val="8"/>
  </w:num>
  <w:num w:numId="9" w16cid:durableId="960957380">
    <w:abstractNumId w:val="22"/>
  </w:num>
  <w:num w:numId="10" w16cid:durableId="1876427200">
    <w:abstractNumId w:val="11"/>
  </w:num>
  <w:num w:numId="11" w16cid:durableId="1285699198">
    <w:abstractNumId w:val="39"/>
  </w:num>
  <w:num w:numId="12" w16cid:durableId="1294095392">
    <w:abstractNumId w:val="28"/>
  </w:num>
  <w:num w:numId="13" w16cid:durableId="1369648150">
    <w:abstractNumId w:val="41"/>
  </w:num>
  <w:num w:numId="14" w16cid:durableId="2065443633">
    <w:abstractNumId w:val="31"/>
  </w:num>
  <w:num w:numId="15" w16cid:durableId="253368139">
    <w:abstractNumId w:val="10"/>
  </w:num>
  <w:num w:numId="16" w16cid:durableId="511649330">
    <w:abstractNumId w:val="44"/>
  </w:num>
  <w:num w:numId="17" w16cid:durableId="1372070150">
    <w:abstractNumId w:val="42"/>
  </w:num>
  <w:num w:numId="18" w16cid:durableId="95835946">
    <w:abstractNumId w:val="1"/>
  </w:num>
  <w:num w:numId="19" w16cid:durableId="651444576">
    <w:abstractNumId w:val="33"/>
  </w:num>
  <w:num w:numId="20" w16cid:durableId="1238589893">
    <w:abstractNumId w:val="23"/>
  </w:num>
  <w:num w:numId="21" w16cid:durableId="1491680672">
    <w:abstractNumId w:val="19"/>
  </w:num>
  <w:num w:numId="22" w16cid:durableId="1905945840">
    <w:abstractNumId w:val="34"/>
  </w:num>
  <w:num w:numId="23" w16cid:durableId="1735004873">
    <w:abstractNumId w:val="20"/>
  </w:num>
  <w:num w:numId="24" w16cid:durableId="328799193">
    <w:abstractNumId w:val="16"/>
  </w:num>
  <w:num w:numId="25" w16cid:durableId="1975058617">
    <w:abstractNumId w:val="14"/>
  </w:num>
  <w:num w:numId="26" w16cid:durableId="191501172">
    <w:abstractNumId w:val="29"/>
  </w:num>
  <w:num w:numId="27" w16cid:durableId="469984496">
    <w:abstractNumId w:val="30"/>
  </w:num>
  <w:num w:numId="28" w16cid:durableId="1156916672">
    <w:abstractNumId w:val="13"/>
  </w:num>
  <w:num w:numId="29" w16cid:durableId="1395473421">
    <w:abstractNumId w:val="3"/>
  </w:num>
  <w:num w:numId="30" w16cid:durableId="178009618">
    <w:abstractNumId w:val="18"/>
  </w:num>
  <w:num w:numId="31" w16cid:durableId="620186127">
    <w:abstractNumId w:val="45"/>
  </w:num>
  <w:num w:numId="32" w16cid:durableId="2138526099">
    <w:abstractNumId w:val="35"/>
  </w:num>
  <w:num w:numId="33" w16cid:durableId="1803382753">
    <w:abstractNumId w:val="17"/>
  </w:num>
  <w:num w:numId="34" w16cid:durableId="619723553">
    <w:abstractNumId w:val="0"/>
  </w:num>
  <w:num w:numId="35" w16cid:durableId="245111432">
    <w:abstractNumId w:val="21"/>
  </w:num>
  <w:num w:numId="36" w16cid:durableId="885600685">
    <w:abstractNumId w:val="43"/>
  </w:num>
  <w:num w:numId="37" w16cid:durableId="131213509">
    <w:abstractNumId w:val="37"/>
  </w:num>
  <w:num w:numId="38" w16cid:durableId="1063066882">
    <w:abstractNumId w:val="40"/>
  </w:num>
  <w:num w:numId="39" w16cid:durableId="1957638316">
    <w:abstractNumId w:val="36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2"/>
  </w:num>
  <w:num w:numId="43" w16cid:durableId="1438020785">
    <w:abstractNumId w:val="26"/>
  </w:num>
  <w:num w:numId="44" w16cid:durableId="473913241">
    <w:abstractNumId w:val="9"/>
  </w:num>
  <w:num w:numId="45" w16cid:durableId="1598246473">
    <w:abstractNumId w:val="7"/>
  </w:num>
  <w:num w:numId="46" w16cid:durableId="15802895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22D7"/>
    <w:rsid w:val="000B3AE7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200A9B"/>
    <w:rsid w:val="002042E3"/>
    <w:rsid w:val="00211A46"/>
    <w:rsid w:val="00216366"/>
    <w:rsid w:val="00216D0D"/>
    <w:rsid w:val="00220C09"/>
    <w:rsid w:val="00221AC4"/>
    <w:rsid w:val="00222D82"/>
    <w:rsid w:val="00223EA1"/>
    <w:rsid w:val="00226E11"/>
    <w:rsid w:val="00231BF2"/>
    <w:rsid w:val="00240380"/>
    <w:rsid w:val="00242F6F"/>
    <w:rsid w:val="00251E27"/>
    <w:rsid w:val="0025409B"/>
    <w:rsid w:val="0026497D"/>
    <w:rsid w:val="00270385"/>
    <w:rsid w:val="00271262"/>
    <w:rsid w:val="0027528F"/>
    <w:rsid w:val="00277664"/>
    <w:rsid w:val="00282B02"/>
    <w:rsid w:val="00287009"/>
    <w:rsid w:val="00291131"/>
    <w:rsid w:val="00292CBD"/>
    <w:rsid w:val="002A791F"/>
    <w:rsid w:val="002B24CE"/>
    <w:rsid w:val="002C0EF6"/>
    <w:rsid w:val="002C0F57"/>
    <w:rsid w:val="002C5CDB"/>
    <w:rsid w:val="002D7676"/>
    <w:rsid w:val="002E15B4"/>
    <w:rsid w:val="00304D52"/>
    <w:rsid w:val="003101D3"/>
    <w:rsid w:val="00315624"/>
    <w:rsid w:val="0032248F"/>
    <w:rsid w:val="00322E29"/>
    <w:rsid w:val="0032518D"/>
    <w:rsid w:val="00325F6E"/>
    <w:rsid w:val="00326181"/>
    <w:rsid w:val="003376CF"/>
    <w:rsid w:val="00346A74"/>
    <w:rsid w:val="00346B05"/>
    <w:rsid w:val="00357E61"/>
    <w:rsid w:val="0036350F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5058"/>
    <w:rsid w:val="00415BCB"/>
    <w:rsid w:val="00420958"/>
    <w:rsid w:val="004239AF"/>
    <w:rsid w:val="00431D07"/>
    <w:rsid w:val="00441A42"/>
    <w:rsid w:val="0044207A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403A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E0B6B"/>
    <w:rsid w:val="004E65A5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21EB"/>
    <w:rsid w:val="00565E3F"/>
    <w:rsid w:val="00570683"/>
    <w:rsid w:val="00571314"/>
    <w:rsid w:val="00573905"/>
    <w:rsid w:val="00576E43"/>
    <w:rsid w:val="0058278C"/>
    <w:rsid w:val="005910A2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60B53"/>
    <w:rsid w:val="00666622"/>
    <w:rsid w:val="00666CCF"/>
    <w:rsid w:val="00667522"/>
    <w:rsid w:val="00667EEC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337F"/>
    <w:rsid w:val="006B637A"/>
    <w:rsid w:val="006B6C7D"/>
    <w:rsid w:val="006C067D"/>
    <w:rsid w:val="006C1AFA"/>
    <w:rsid w:val="006C3B71"/>
    <w:rsid w:val="006C52BB"/>
    <w:rsid w:val="006E3765"/>
    <w:rsid w:val="006F633E"/>
    <w:rsid w:val="006F7A63"/>
    <w:rsid w:val="00701647"/>
    <w:rsid w:val="00702024"/>
    <w:rsid w:val="0071320F"/>
    <w:rsid w:val="007147DD"/>
    <w:rsid w:val="00715CE0"/>
    <w:rsid w:val="00716039"/>
    <w:rsid w:val="007423C9"/>
    <w:rsid w:val="007440DE"/>
    <w:rsid w:val="00754F4F"/>
    <w:rsid w:val="00754FF2"/>
    <w:rsid w:val="00756EDA"/>
    <w:rsid w:val="0075767B"/>
    <w:rsid w:val="0076109D"/>
    <w:rsid w:val="00761C40"/>
    <w:rsid w:val="00772C1A"/>
    <w:rsid w:val="007750D0"/>
    <w:rsid w:val="00777C6F"/>
    <w:rsid w:val="00783453"/>
    <w:rsid w:val="00791F24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5B6C"/>
    <w:rsid w:val="00934426"/>
    <w:rsid w:val="009371CA"/>
    <w:rsid w:val="009376AE"/>
    <w:rsid w:val="009510DC"/>
    <w:rsid w:val="009573EA"/>
    <w:rsid w:val="009602F1"/>
    <w:rsid w:val="00964177"/>
    <w:rsid w:val="00965BF4"/>
    <w:rsid w:val="0097059F"/>
    <w:rsid w:val="009708F1"/>
    <w:rsid w:val="00971510"/>
    <w:rsid w:val="00973906"/>
    <w:rsid w:val="00975689"/>
    <w:rsid w:val="00975C14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0FEE"/>
    <w:rsid w:val="009E10C4"/>
    <w:rsid w:val="009E4074"/>
    <w:rsid w:val="00A01390"/>
    <w:rsid w:val="00A04A50"/>
    <w:rsid w:val="00A072A4"/>
    <w:rsid w:val="00A11C43"/>
    <w:rsid w:val="00A12898"/>
    <w:rsid w:val="00A12A3B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92307"/>
    <w:rsid w:val="00AA0D2C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DDB"/>
    <w:rsid w:val="00B06B76"/>
    <w:rsid w:val="00B07439"/>
    <w:rsid w:val="00B10F62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5044B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92C16"/>
    <w:rsid w:val="00B96D5E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34B3"/>
    <w:rsid w:val="00C26B78"/>
    <w:rsid w:val="00C33886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969D3"/>
    <w:rsid w:val="00CA01D2"/>
    <w:rsid w:val="00CA0B16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D0548F"/>
    <w:rsid w:val="00D117EC"/>
    <w:rsid w:val="00D12C73"/>
    <w:rsid w:val="00D2003A"/>
    <w:rsid w:val="00D2022E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40E3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B6FDB"/>
    <w:rsid w:val="00DC1D61"/>
    <w:rsid w:val="00DD0CF0"/>
    <w:rsid w:val="00DD774F"/>
    <w:rsid w:val="00DE40CD"/>
    <w:rsid w:val="00DE44FA"/>
    <w:rsid w:val="00DE57A5"/>
    <w:rsid w:val="00DF4E66"/>
    <w:rsid w:val="00E03E6E"/>
    <w:rsid w:val="00E069CD"/>
    <w:rsid w:val="00E13B0C"/>
    <w:rsid w:val="00E1522B"/>
    <w:rsid w:val="00E16AB5"/>
    <w:rsid w:val="00E21815"/>
    <w:rsid w:val="00E247DB"/>
    <w:rsid w:val="00E32927"/>
    <w:rsid w:val="00E363A9"/>
    <w:rsid w:val="00E50776"/>
    <w:rsid w:val="00E5134C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3239"/>
    <w:rsid w:val="00EF3256"/>
    <w:rsid w:val="00EF6C99"/>
    <w:rsid w:val="00F06698"/>
    <w:rsid w:val="00F0685D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customStyle="1" w:styleId="hgkelc">
    <w:name w:val="hgkelc"/>
    <w:basedOn w:val="Policepardfaut"/>
    <w:rsid w:val="0037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>2023-04-17T14:14:40+00:00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CMY4ZK6EYUJ3-1266353584-90374</_dlc_DocId>
    <_dlc_DocIdUrl xmlns="24afb3a9-f650-4ccb-a617-443d7b096622">
      <Url>https://groupealdes.sharepoint.com/sites/DocShareGroup/_layouts/15/DocIdRedir.aspx?ID=CMY4ZK6EYUJ3-1266353584-90374</Url>
      <Description>CMY4ZK6EYUJ3-1266353584-90374</Description>
    </_dlc_DocIdUrl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86D122-1FDE-4961-A66D-D95568D48B96}"/>
</file>

<file path=customXml/itemProps2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c2e07768-9134-4e29-b25e-9c8cf08f3317"/>
    <ds:schemaRef ds:uri="9a86b390-5a75-4da5-af9c-6223e5818024"/>
  </ds:schemaRefs>
</ds:datastoreItem>
</file>

<file path=customXml/itemProps4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8442C1-DE20-4D00-9F9E-A22464D22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Akcam Ismail</cp:lastModifiedBy>
  <cp:revision>15</cp:revision>
  <cp:lastPrinted>2016-12-15T16:34:00Z</cp:lastPrinted>
  <dcterms:created xsi:type="dcterms:W3CDTF">2022-09-14T15:24:00Z</dcterms:created>
  <dcterms:modified xsi:type="dcterms:W3CDTF">2023-04-17T14:14:00Z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b4324816-c567-4f1c-ac91-595aae0925e7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